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4E0" w:rsidRPr="005474E0" w:rsidRDefault="005474E0" w:rsidP="005474E0">
      <w:pPr>
        <w:spacing w:after="0" w:line="240" w:lineRule="auto"/>
        <w:ind w:firstLine="0"/>
        <w:jc w:val="both"/>
        <w:outlineLvl w:val="0"/>
        <w:rPr>
          <w:rFonts w:cs="Times New Roman"/>
          <w:color w:val="000000"/>
          <w:szCs w:val="24"/>
        </w:rPr>
      </w:pPr>
      <w:r w:rsidRPr="005474E0">
        <w:rPr>
          <w:rFonts w:cs="Times New Roman"/>
          <w:b/>
          <w:color w:val="000000"/>
          <w:szCs w:val="24"/>
        </w:rPr>
        <w:t xml:space="preserve">VỎ NÃO CẢM GIÁC CƠ THỂ SƠ CẤP    </w:t>
      </w:r>
    </w:p>
    <w:p w:rsidR="005474E0" w:rsidRPr="005474E0" w:rsidRDefault="005474E0" w:rsidP="005474E0">
      <w:pPr>
        <w:spacing w:after="0" w:line="240" w:lineRule="auto"/>
        <w:ind w:firstLine="709"/>
        <w:jc w:val="both"/>
        <w:rPr>
          <w:rStyle w:val="fontstyle21"/>
          <w:rFonts w:ascii="Times New Roman" w:hAnsi="Times New Roman" w:cs="Times New Roman"/>
          <w:sz w:val="28"/>
          <w:szCs w:val="28"/>
        </w:rPr>
      </w:pPr>
    </w:p>
    <w:p w:rsidR="005474E0" w:rsidRPr="005474E0" w:rsidRDefault="005474E0" w:rsidP="005474E0">
      <w:pPr>
        <w:spacing w:after="0" w:line="240" w:lineRule="auto"/>
        <w:ind w:firstLine="709"/>
        <w:jc w:val="both"/>
        <w:rPr>
          <w:rFonts w:cs="Times New Roman"/>
          <w:color w:val="000000"/>
          <w:sz w:val="28"/>
          <w:szCs w:val="28"/>
        </w:rPr>
      </w:pPr>
      <w:r w:rsidRPr="005474E0">
        <w:rPr>
          <w:rStyle w:val="fontstyle21"/>
          <w:rFonts w:ascii="Times New Roman" w:hAnsi="Times New Roman" w:cs="Times New Roman"/>
          <w:sz w:val="28"/>
          <w:szCs w:val="28"/>
        </w:rPr>
        <w:t xml:space="preserve">Vùng vỏ não mà sự kích thích của nó gây ra các trải nghiệm cảm giác chủ quan của thân thể. </w:t>
      </w:r>
      <w:r w:rsidRPr="005474E0">
        <w:rPr>
          <w:rFonts w:cs="Times New Roman"/>
          <w:color w:val="000000"/>
          <w:sz w:val="28"/>
          <w:szCs w:val="28"/>
        </w:rPr>
        <w:t xml:space="preserve">Vỏ não là phần chất xám cao cấp nhất của hệ thần kinh, tụ tập dày đặc các thân nơ ron. Vỏ não người ước tính có khoảng 14 - 16 tỉ nơ ron. Mỗi vùng/khu vực của vỏ não có những cấu trúc riêng và đi theo đó là những chức năng mà vùng đó chi phối, điều hành. </w:t>
      </w:r>
      <w:r w:rsidRPr="005474E0">
        <w:rPr>
          <w:rStyle w:val="fontstyle21"/>
          <w:rFonts w:ascii="Times New Roman" w:hAnsi="Times New Roman" w:cs="Times New Roman"/>
          <w:sz w:val="28"/>
          <w:szCs w:val="28"/>
        </w:rPr>
        <w:t>Các vùng vỏ não tham gia vào quá trình xử lý cảm giác thân thể được phân bố rộng rãi ở thùy đỉnh, hồi sau trung tâm, vùng đỉnh sau và vùng bên. Chúng tạo thành một mạng kết nối với các kết nối nối tiếp (phân cấp).</w:t>
      </w:r>
    </w:p>
    <w:p w:rsidR="005474E0" w:rsidRPr="005474E0" w:rsidRDefault="005474E0" w:rsidP="005474E0">
      <w:pPr>
        <w:spacing w:after="0" w:line="240" w:lineRule="auto"/>
        <w:ind w:firstLine="709"/>
        <w:jc w:val="both"/>
        <w:rPr>
          <w:rFonts w:cs="Times New Roman"/>
          <w:color w:val="000000"/>
          <w:sz w:val="28"/>
          <w:szCs w:val="28"/>
        </w:rPr>
      </w:pPr>
      <w:r w:rsidRPr="005474E0">
        <w:rPr>
          <w:rFonts w:cs="Times New Roman"/>
          <w:color w:val="000000"/>
          <w:sz w:val="28"/>
          <w:szCs w:val="28"/>
        </w:rPr>
        <w:t>Chức năng của vùng vỏ não được phát hiện sớm trong các nghiên cứu là vùng hẹp, trải dài phía sau rãnh trung tâm, kéo từ đỉnh xuống đến khe Sylvus ở cả 2 bên bán cầu não. Khi kích thích vào khu vực này, ở chủ thể bị kích thích xuất hiện những trải nghiệm cảm giác cơ thể. Ở động vật, khi kích thích ngoại vi lên bề mặt cơ thể, các nhà nghiên cứu cũng ghi được những điện thế gợi ở sau rãnh trung tâm. Vùng não này được gọi là vùng vỏ não cảm giác cơ thể. Nó được chia thành 2 tiểu vùng, đó là: vùng vỏ não cảm giác cơ thể sơ cấp (Primary Somatosensory Cortex) hay còn gọi là SI và vùng vỏ não cơ thể thứ cấp (Secondary Somatosensory Cortex) hay gọi là SII.</w:t>
      </w:r>
    </w:p>
    <w:p w:rsidR="005474E0" w:rsidRPr="005474E0" w:rsidRDefault="005474E0" w:rsidP="005474E0">
      <w:pPr>
        <w:spacing w:after="0" w:line="240" w:lineRule="auto"/>
        <w:jc w:val="both"/>
        <w:rPr>
          <w:rFonts w:cs="Times New Roman"/>
          <w:color w:val="000000"/>
          <w:sz w:val="28"/>
          <w:szCs w:val="28"/>
        </w:rPr>
      </w:pPr>
      <w:r w:rsidRPr="005474E0">
        <w:rPr>
          <w:rFonts w:cs="Times New Roman"/>
          <w:color w:val="000000"/>
          <w:sz w:val="28"/>
          <w:szCs w:val="28"/>
        </w:rPr>
        <w:t>Vùng vỏ não cảm giác cơ thể sơ cấp bao gồm 4 vùng nhỏ, theo cách chia của Brodmann (1909): 3a, 3b, 1, 2 (xem hình 1). Gọi nó là vùng cảm giác cơ thể sơ cấp vì đây là điểm đầu tiên trên vỏ não tiếp nhận và xử lý các xung thần kinh cảm giác của cơ thể. Các xung thần kinh cảm giác cơ thể sau khi được xử lý ở SI thường được chuyển qua SII- vùng vỏ não cảm giác cơ thể thứ cấp.</w:t>
      </w:r>
    </w:p>
    <w:p w:rsidR="005474E0" w:rsidRPr="005474E0" w:rsidRDefault="005474E0" w:rsidP="005474E0">
      <w:pPr>
        <w:spacing w:after="0" w:line="240" w:lineRule="auto"/>
        <w:jc w:val="both"/>
        <w:rPr>
          <w:rFonts w:cs="Times New Roman"/>
          <w:color w:val="000000"/>
          <w:sz w:val="28"/>
          <w:szCs w:val="28"/>
        </w:rPr>
      </w:pPr>
      <w:r w:rsidRPr="005474E0">
        <w:rPr>
          <w:rFonts w:cs="Times New Roman"/>
          <w:color w:val="000000"/>
          <w:sz w:val="28"/>
          <w:szCs w:val="28"/>
        </w:rPr>
        <w:t>Mỗi vùng của SI nhận xung thần kinh cảm giác từ một phần cơ thể bên nửa đối diện. Tùy thuộc vào số lượng thụ thể có mặt tại từng phần cơ thể, đại diện/vùng xuất chiếu trên vỏ não có thể rộng hay hẹp. Và như vậy, vùng nào của cơ thể càng có những chức năng tinh xảo/nhiều thụ thể, ví dụ như các đầu ngón tay, mặt thì vùng xuất chiếu trên vỏ não càng rộng. Vùng nào ít thụ thể cảm giác, ví dụ như thân hay cẳng tay thì đại diện trên vỏ não càng hẹp. Nếu các xung cảm giác da tập trung chủ yếu ở vùng 2, 3, thì vùng 1 lại là nơi tập trung cảm giác bản thể (tư thế khớp, cơ).</w:t>
      </w:r>
    </w:p>
    <w:p w:rsidR="005474E0" w:rsidRPr="005474E0" w:rsidRDefault="005474E0" w:rsidP="005474E0">
      <w:pPr>
        <w:spacing w:after="0" w:line="240" w:lineRule="auto"/>
        <w:jc w:val="both"/>
        <w:rPr>
          <w:rFonts w:cs="Times New Roman"/>
          <w:color w:val="000000"/>
          <w:sz w:val="28"/>
          <w:szCs w:val="28"/>
        </w:rPr>
      </w:pPr>
      <w:r w:rsidRPr="005474E0">
        <w:rPr>
          <w:rFonts w:cs="Times New Roman"/>
          <w:color w:val="000000"/>
          <w:sz w:val="28"/>
          <w:szCs w:val="28"/>
        </w:rPr>
        <w:t>Người ta thường chấp nhận rằng vỏ não cảm giác được đặc trưng bởi sự đại diện tôpô và có trật tự của tấm thụ thể. Trong vỏ não cảm giác cơ thể sơ cấp của loài linh trưởng, khoang miệng, mặt, tay, cánh tay, thân, cẳng chân và bàn chân được thể hiện về mặt cơ thể dọc theo trục trung gian bên của hồi sau trung tâm. Penfield và Boldrey (1937) đã phát minh ra một homunculus để mô tả sự sắp xếp như vậy. Sự thể hiện somatotopic của cơ thể trên bề mặt vỏ não đã được thấy ở nhiều loài động vật có vú khác bằng cách ghi lại các điện thế gợi lên. Mô vỏ não dành cho mỗi phần thể hiện của cơ thể không đồng đều. Phần cơ thể được phóng đại khác nhau giữa các loài động vật. Ở loài linh trưởng, vùng vỏ não dành cho việc thể hiện khoang miệng, mặt, tay hoặc chân lớn hơn nhiều so với vùng vỏ não dành cho thân hoặc các chi gần (Burton &amp; Sinclair, 1996).</w:t>
      </w:r>
    </w:p>
    <w:p w:rsidR="005474E0" w:rsidRPr="005474E0" w:rsidRDefault="005474E0" w:rsidP="005474E0">
      <w:pPr>
        <w:spacing w:after="0" w:line="240" w:lineRule="auto"/>
        <w:jc w:val="both"/>
        <w:rPr>
          <w:rFonts w:cs="Times New Roman"/>
          <w:color w:val="000000"/>
          <w:sz w:val="28"/>
          <w:szCs w:val="28"/>
        </w:rPr>
      </w:pPr>
      <w:r w:rsidRPr="005474E0">
        <w:rPr>
          <w:rFonts w:cs="Times New Roman"/>
          <w:color w:val="000000"/>
          <w:sz w:val="28"/>
          <w:szCs w:val="28"/>
        </w:rPr>
        <w:t xml:space="preserve">Khi hồi sau trung tâm bị tổn thương, ở chủ thể có hiện tượng mất cảm giác (anesthesia). Tùy theo mức độ và phạm vi tổn thương, chủ thể có thể mất tất cả các </w:t>
      </w:r>
      <w:r w:rsidRPr="005474E0">
        <w:rPr>
          <w:rFonts w:cs="Times New Roman"/>
          <w:color w:val="000000"/>
          <w:sz w:val="28"/>
          <w:szCs w:val="28"/>
        </w:rPr>
        <w:lastRenderedPageBreak/>
        <w:t>loại cảm giác (xúc giác, nhiệt độ, đau và cảm giác bản thể). Ở mức độ nhẹ, có thể giảm cảm giác (hyposthesia). Ngoài ra chủ thể cũng có thể bị mất khả năng so sánh các cảm giác, không xác định được chính xác hai điểm kích thích trên da, không nhận biết được vị trí kích thích.</w:t>
      </w:r>
    </w:p>
    <w:p w:rsidR="005474E0" w:rsidRPr="005474E0" w:rsidRDefault="005474E0" w:rsidP="005474E0">
      <w:pPr>
        <w:spacing w:after="0" w:line="240" w:lineRule="auto"/>
        <w:jc w:val="both"/>
        <w:rPr>
          <w:rFonts w:cs="Times New Roman"/>
          <w:color w:val="000000"/>
          <w:sz w:val="28"/>
          <w:szCs w:val="28"/>
        </w:rPr>
      </w:pPr>
      <w:r w:rsidRPr="005474E0">
        <w:rPr>
          <w:rFonts w:cs="Times New Roman"/>
          <w:color w:val="000000"/>
          <w:sz w:val="28"/>
          <w:szCs w:val="28"/>
        </w:rPr>
        <w:t>Các hoạt động của vỏ não đại diện cho các mô hình kích thích da xúc giác theo thời gian như rung-rung, chuyển động, hướng, chiều dài, vận tốc của kích thích xúc giác, kết cấu bề mặt, dạng không gian, v.v., đã được nghiên cứu (Burton và Sinclair, 1996). DiCarlo, Johnson và Hsiao (1998) phát hiện ra rằng 94% tế bào thần kinh vùng 3b ở vùng ngón tay chứa một trung tâm kích thích duy nhất, cũng như các vùng ức chế nằm ở một hoặc nhiều phía của trung tâm kích thích. Do đó, người ta chỉ ra rằng các tế bào thần kinh khu vực 3b hoạt động như các bộ lọc cục bộ - thời gian và có thể góp phần vào nhận thức về hình thức và kết cấu.</w:t>
      </w:r>
    </w:p>
    <w:p w:rsidR="005474E0" w:rsidRPr="005474E0" w:rsidRDefault="005474E0" w:rsidP="005474E0">
      <w:pPr>
        <w:spacing w:after="0" w:line="240" w:lineRule="auto"/>
        <w:ind w:left="5040"/>
        <w:jc w:val="both"/>
        <w:rPr>
          <w:rFonts w:cs="Times New Roman"/>
          <w:b/>
          <w:bCs/>
          <w:color w:val="000000"/>
          <w:sz w:val="28"/>
          <w:szCs w:val="28"/>
          <w:lang w:val="pt-BR"/>
        </w:rPr>
      </w:pPr>
      <w:r w:rsidRPr="005474E0">
        <w:rPr>
          <w:rFonts w:cs="Times New Roman"/>
          <w:b/>
          <w:bCs/>
          <w:color w:val="000000"/>
          <w:sz w:val="28"/>
          <w:szCs w:val="28"/>
          <w:lang w:val="pt-BR"/>
        </w:rPr>
        <w:t xml:space="preserve">      </w:t>
      </w:r>
    </w:p>
    <w:p w:rsidR="005474E0" w:rsidRPr="005474E0" w:rsidRDefault="005474E0" w:rsidP="005474E0">
      <w:pPr>
        <w:spacing w:after="0" w:line="240" w:lineRule="auto"/>
        <w:ind w:left="5040"/>
        <w:jc w:val="both"/>
        <w:rPr>
          <w:rFonts w:cs="Times New Roman"/>
          <w:b/>
          <w:bCs/>
          <w:color w:val="000000"/>
          <w:szCs w:val="24"/>
          <w:lang w:val="pt-BR"/>
        </w:rPr>
      </w:pPr>
      <w:r w:rsidRPr="005474E0">
        <w:rPr>
          <w:rFonts w:cs="Times New Roman"/>
          <w:b/>
          <w:bCs/>
          <w:color w:val="000000"/>
          <w:szCs w:val="24"/>
          <w:lang w:val="pt-BR"/>
        </w:rPr>
        <w:t>NGUYỄN SINH PHÚC</w:t>
      </w:r>
    </w:p>
    <w:p w:rsidR="005474E0" w:rsidRPr="005474E0" w:rsidRDefault="005474E0" w:rsidP="005474E0">
      <w:pPr>
        <w:spacing w:after="0" w:line="240" w:lineRule="auto"/>
        <w:ind w:left="5040"/>
        <w:jc w:val="both"/>
        <w:rPr>
          <w:rFonts w:cs="Times New Roman"/>
          <w:b/>
          <w:bCs/>
          <w:color w:val="000000"/>
          <w:szCs w:val="24"/>
          <w:lang w:val="pt-BR"/>
        </w:rPr>
      </w:pPr>
    </w:p>
    <w:p w:rsidR="005474E0" w:rsidRPr="005474E0" w:rsidRDefault="005474E0" w:rsidP="005474E0">
      <w:pPr>
        <w:spacing w:after="0" w:line="240" w:lineRule="auto"/>
        <w:ind w:firstLine="0"/>
        <w:jc w:val="both"/>
        <w:rPr>
          <w:rFonts w:cs="Times New Roman"/>
          <w:b/>
          <w:bCs/>
          <w:color w:val="000000"/>
          <w:szCs w:val="24"/>
          <w:lang w:val="pt-BR"/>
        </w:rPr>
      </w:pPr>
      <w:r w:rsidRPr="005474E0">
        <w:rPr>
          <w:rFonts w:cs="Times New Roman"/>
          <w:b/>
          <w:bCs/>
          <w:color w:val="000000"/>
          <w:szCs w:val="24"/>
          <w:lang w:val="pt-BR"/>
        </w:rPr>
        <w:t>Tài liệu tham khảo</w:t>
      </w:r>
    </w:p>
    <w:p w:rsidR="005474E0" w:rsidRPr="005474E0" w:rsidRDefault="005474E0" w:rsidP="005474E0">
      <w:pPr>
        <w:spacing w:after="0" w:line="240" w:lineRule="auto"/>
        <w:ind w:firstLine="0"/>
        <w:jc w:val="both"/>
        <w:rPr>
          <w:rFonts w:cs="Times New Roman"/>
          <w:color w:val="000000"/>
          <w:szCs w:val="24"/>
          <w:lang w:val="pt-BR"/>
        </w:rPr>
      </w:pPr>
      <w:r w:rsidRPr="005474E0">
        <w:rPr>
          <w:rFonts w:cs="Times New Roman"/>
          <w:color w:val="000000"/>
          <w:szCs w:val="24"/>
          <w:lang w:val="pt-BR"/>
        </w:rPr>
        <w:t xml:space="preserve">1. Luria A. R. (Võ Thị Minh Chí, Phạm Minh Hạc, Trần Trọng Thủy dịch), </w:t>
      </w:r>
      <w:r w:rsidRPr="005474E0">
        <w:rPr>
          <w:rFonts w:cs="Times New Roman"/>
          <w:i/>
          <w:color w:val="000000"/>
          <w:szCs w:val="24"/>
          <w:lang w:val="pt-BR"/>
        </w:rPr>
        <w:t>Cơ sở Tâm lý học thần kinh</w:t>
      </w:r>
      <w:r w:rsidRPr="005474E0">
        <w:rPr>
          <w:rFonts w:cs="Times New Roman"/>
          <w:color w:val="000000"/>
          <w:szCs w:val="24"/>
          <w:lang w:val="pt-BR"/>
        </w:rPr>
        <w:t>, Nxb. Giáo dục,</w:t>
      </w:r>
      <w:r w:rsidRPr="005474E0">
        <w:rPr>
          <w:rFonts w:eastAsia="ArialMT" w:cs="Times New Roman"/>
          <w:color w:val="000000"/>
          <w:szCs w:val="24"/>
        </w:rPr>
        <w:t xml:space="preserve"> </w:t>
      </w:r>
      <w:r w:rsidRPr="005474E0">
        <w:rPr>
          <w:rFonts w:cs="Times New Roman"/>
          <w:bCs/>
          <w:color w:val="000000"/>
          <w:szCs w:val="24"/>
        </w:rPr>
        <w:t xml:space="preserve">Hà Nội, </w:t>
      </w:r>
      <w:r w:rsidRPr="005474E0">
        <w:rPr>
          <w:rFonts w:cs="Times New Roman"/>
          <w:color w:val="000000"/>
          <w:szCs w:val="24"/>
          <w:lang w:val="pt-BR"/>
        </w:rPr>
        <w:t>2003, tr. 248-250.</w:t>
      </w:r>
    </w:p>
    <w:p w:rsidR="005474E0" w:rsidRPr="005474E0" w:rsidRDefault="005474E0" w:rsidP="005474E0">
      <w:pPr>
        <w:spacing w:after="0" w:line="240" w:lineRule="auto"/>
        <w:ind w:firstLine="0"/>
        <w:jc w:val="both"/>
        <w:rPr>
          <w:rFonts w:cs="Times New Roman"/>
          <w:color w:val="000000"/>
          <w:szCs w:val="24"/>
          <w:lang w:val="pt-BR"/>
        </w:rPr>
      </w:pPr>
      <w:r w:rsidRPr="005474E0">
        <w:rPr>
          <w:rFonts w:cs="Times New Roman"/>
          <w:color w:val="000000"/>
          <w:szCs w:val="24"/>
          <w:lang w:val="pt-BR"/>
        </w:rPr>
        <w:t xml:space="preserve">2. Phạm Đình Lựu, </w:t>
      </w:r>
      <w:r w:rsidRPr="005474E0">
        <w:rPr>
          <w:rFonts w:cs="Times New Roman"/>
          <w:i/>
          <w:color w:val="000000"/>
          <w:szCs w:val="24"/>
          <w:lang w:val="pt-BR"/>
        </w:rPr>
        <w:t>Sinh lý học Y khoa</w:t>
      </w:r>
      <w:r w:rsidRPr="005474E0">
        <w:rPr>
          <w:rFonts w:cs="Times New Roman"/>
          <w:color w:val="000000"/>
          <w:szCs w:val="24"/>
          <w:lang w:val="pt-BR"/>
        </w:rPr>
        <w:t>, Tập II, tr.:320 - 321, Nxb. Y học,</w:t>
      </w:r>
      <w:r w:rsidRPr="005474E0">
        <w:rPr>
          <w:rFonts w:eastAsia="ArialMT" w:cs="Times New Roman"/>
          <w:color w:val="000000"/>
          <w:szCs w:val="24"/>
        </w:rPr>
        <w:t xml:space="preserve"> </w:t>
      </w:r>
      <w:r w:rsidRPr="005474E0">
        <w:rPr>
          <w:rFonts w:cs="Times New Roman"/>
          <w:bCs/>
          <w:color w:val="000000"/>
          <w:szCs w:val="24"/>
        </w:rPr>
        <w:t xml:space="preserve">Hà Nội, </w:t>
      </w:r>
      <w:r w:rsidRPr="005474E0">
        <w:rPr>
          <w:rFonts w:cs="Times New Roman"/>
          <w:color w:val="000000"/>
          <w:szCs w:val="24"/>
          <w:lang w:val="pt-BR"/>
        </w:rPr>
        <w:t>2008, tr. 320-321</w:t>
      </w:r>
    </w:p>
    <w:p w:rsidR="005474E0" w:rsidRPr="005474E0" w:rsidRDefault="005474E0" w:rsidP="005474E0">
      <w:pPr>
        <w:spacing w:after="0" w:line="240" w:lineRule="auto"/>
        <w:ind w:firstLine="0"/>
        <w:jc w:val="both"/>
        <w:rPr>
          <w:rFonts w:cs="Times New Roman"/>
          <w:color w:val="000000"/>
          <w:szCs w:val="24"/>
          <w:lang w:val="pt-BR"/>
        </w:rPr>
      </w:pPr>
      <w:r w:rsidRPr="005474E0">
        <w:rPr>
          <w:rFonts w:cs="Times New Roman"/>
          <w:color w:val="000000"/>
          <w:szCs w:val="24"/>
          <w:lang w:val="pt-BR"/>
        </w:rPr>
        <w:t xml:space="preserve">3. Trịnh Văn Minh, </w:t>
      </w:r>
      <w:r w:rsidRPr="005474E0">
        <w:rPr>
          <w:rFonts w:cs="Times New Roman"/>
          <w:i/>
          <w:color w:val="000000"/>
          <w:szCs w:val="24"/>
          <w:lang w:val="pt-BR"/>
        </w:rPr>
        <w:t>Giải phẫu người, Tập III: Hệ thần kinh - Hệ nội tiết</w:t>
      </w:r>
      <w:r w:rsidRPr="005474E0">
        <w:rPr>
          <w:rFonts w:cs="Times New Roman"/>
          <w:color w:val="000000"/>
          <w:szCs w:val="24"/>
          <w:lang w:val="pt-BR"/>
        </w:rPr>
        <w:t>, Nxb. Giáo dục Việt Nam,</w:t>
      </w:r>
      <w:r w:rsidRPr="005474E0">
        <w:rPr>
          <w:rFonts w:eastAsia="ArialMT" w:cs="Times New Roman"/>
          <w:color w:val="000000"/>
          <w:szCs w:val="24"/>
        </w:rPr>
        <w:t xml:space="preserve"> </w:t>
      </w:r>
      <w:r w:rsidRPr="005474E0">
        <w:rPr>
          <w:rFonts w:cs="Times New Roman"/>
          <w:bCs/>
          <w:color w:val="000000"/>
          <w:szCs w:val="24"/>
        </w:rPr>
        <w:t xml:space="preserve">Hà Nội, </w:t>
      </w:r>
      <w:r w:rsidRPr="005474E0">
        <w:rPr>
          <w:rFonts w:cs="Times New Roman"/>
          <w:color w:val="000000"/>
          <w:szCs w:val="24"/>
          <w:lang w:val="pt-BR"/>
        </w:rPr>
        <w:t xml:space="preserve">2010, tr. 242. </w:t>
      </w:r>
    </w:p>
    <w:p w:rsidR="005474E0" w:rsidRPr="005474E0" w:rsidRDefault="005474E0" w:rsidP="005474E0">
      <w:pPr>
        <w:spacing w:after="0" w:line="240" w:lineRule="auto"/>
        <w:ind w:firstLine="0"/>
        <w:jc w:val="both"/>
        <w:rPr>
          <w:rFonts w:cs="Times New Roman"/>
          <w:color w:val="000000"/>
          <w:szCs w:val="24"/>
          <w:lang w:val="pt-BR"/>
        </w:rPr>
      </w:pPr>
      <w:r w:rsidRPr="005474E0">
        <w:rPr>
          <w:rFonts w:cs="Times New Roman"/>
          <w:color w:val="000000"/>
          <w:szCs w:val="24"/>
          <w:lang w:val="pt-BR"/>
        </w:rPr>
        <w:t xml:space="preserve">4. Lê Văn Sơn (Chủ biên), </w:t>
      </w:r>
      <w:r w:rsidRPr="005474E0">
        <w:rPr>
          <w:rFonts w:cs="Times New Roman"/>
          <w:i/>
          <w:color w:val="000000"/>
          <w:szCs w:val="24"/>
          <w:lang w:val="pt-BR"/>
        </w:rPr>
        <w:t>Sinh lý học</w:t>
      </w:r>
      <w:r w:rsidRPr="005474E0">
        <w:rPr>
          <w:rFonts w:cs="Times New Roman"/>
          <w:color w:val="000000"/>
          <w:szCs w:val="24"/>
          <w:lang w:val="pt-BR"/>
        </w:rPr>
        <w:t>, Tập II, Nxb. Quân đội nhân dân,</w:t>
      </w:r>
      <w:r w:rsidRPr="005474E0">
        <w:rPr>
          <w:rFonts w:eastAsia="ArialMT" w:cs="Times New Roman"/>
          <w:color w:val="000000"/>
          <w:szCs w:val="24"/>
        </w:rPr>
        <w:t xml:space="preserve"> </w:t>
      </w:r>
      <w:r w:rsidRPr="005474E0">
        <w:rPr>
          <w:rFonts w:cs="Times New Roman"/>
          <w:bCs/>
          <w:color w:val="000000"/>
          <w:szCs w:val="24"/>
        </w:rPr>
        <w:t xml:space="preserve">Hà Nội, </w:t>
      </w:r>
      <w:r w:rsidRPr="005474E0">
        <w:rPr>
          <w:rFonts w:cs="Times New Roman"/>
          <w:color w:val="000000"/>
          <w:szCs w:val="24"/>
          <w:lang w:val="pt-BR"/>
        </w:rPr>
        <w:t xml:space="preserve">2007, tr. 237-238. </w:t>
      </w:r>
    </w:p>
    <w:p w:rsidR="005474E0" w:rsidRPr="005474E0" w:rsidRDefault="005474E0" w:rsidP="005474E0">
      <w:pPr>
        <w:spacing w:after="0" w:line="240" w:lineRule="auto"/>
        <w:ind w:firstLine="0"/>
        <w:jc w:val="both"/>
        <w:rPr>
          <w:rFonts w:cs="Times New Roman"/>
          <w:color w:val="000000"/>
          <w:szCs w:val="24"/>
          <w:lang w:val="pt-BR"/>
        </w:rPr>
      </w:pPr>
      <w:r w:rsidRPr="005474E0">
        <w:rPr>
          <w:rFonts w:cs="Times New Roman"/>
          <w:color w:val="000000"/>
          <w:szCs w:val="24"/>
          <w:lang w:val="pt-BR"/>
        </w:rPr>
        <w:t xml:space="preserve">5. Đỗ Đình Xuân, Lê Gia Vinh, </w:t>
      </w:r>
      <w:r w:rsidRPr="005474E0">
        <w:rPr>
          <w:rFonts w:cs="Times New Roman"/>
          <w:i/>
          <w:color w:val="000000"/>
          <w:szCs w:val="24"/>
          <w:lang w:val="pt-BR"/>
        </w:rPr>
        <w:t>Giải phẫu sinh lý</w:t>
      </w:r>
      <w:r w:rsidRPr="005474E0">
        <w:rPr>
          <w:rFonts w:cs="Times New Roman"/>
          <w:color w:val="000000"/>
          <w:szCs w:val="24"/>
          <w:lang w:val="pt-BR"/>
        </w:rPr>
        <w:t>, T. 2, Nxb. Y học,</w:t>
      </w:r>
      <w:r w:rsidRPr="005474E0">
        <w:rPr>
          <w:rFonts w:eastAsia="ArialMT" w:cs="Times New Roman"/>
          <w:color w:val="000000"/>
          <w:szCs w:val="24"/>
        </w:rPr>
        <w:t xml:space="preserve"> </w:t>
      </w:r>
      <w:r w:rsidRPr="005474E0">
        <w:rPr>
          <w:rFonts w:cs="Times New Roman"/>
          <w:bCs/>
          <w:color w:val="000000"/>
          <w:szCs w:val="24"/>
        </w:rPr>
        <w:t xml:space="preserve">Hà Nội, </w:t>
      </w:r>
      <w:r w:rsidRPr="005474E0">
        <w:rPr>
          <w:rFonts w:cs="Times New Roman"/>
          <w:color w:val="000000"/>
          <w:szCs w:val="24"/>
          <w:lang w:val="pt-BR"/>
        </w:rPr>
        <w:t>2009, tr. 121-123.</w:t>
      </w:r>
    </w:p>
    <w:p w:rsidR="005616A2" w:rsidRPr="005474E0" w:rsidRDefault="005616A2">
      <w:pPr>
        <w:rPr>
          <w:rFonts w:cs="Times New Roman"/>
        </w:rPr>
      </w:pPr>
    </w:p>
    <w:sectPr w:rsidR="005616A2" w:rsidRPr="005474E0" w:rsidSect="005670E8">
      <w:pgSz w:w="11909" w:h="16834" w:code="9"/>
      <w:pgMar w:top="1134" w:right="1134"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mbria"/>
    <w:charset w:val="00"/>
    <w:family w:val="roman"/>
    <w:pitch w:val="variable"/>
    <w:sig w:usb0="00000001" w:usb1="08000000" w:usb2="00000008" w:usb3="00000000" w:csb0="00000101"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40"/>
  <w:drawingGridVerticalSpacing w:val="381"/>
  <w:displayHorizontalDrawingGridEvery w:val="2"/>
  <w:characterSpacingControl w:val="doNotCompress"/>
  <w:compat/>
  <w:rsids>
    <w:rsidRoot w:val="005474E0"/>
    <w:rsid w:val="00023E86"/>
    <w:rsid w:val="004A2863"/>
    <w:rsid w:val="005474E0"/>
    <w:rsid w:val="0055765E"/>
    <w:rsid w:val="005616A2"/>
    <w:rsid w:val="005670E8"/>
    <w:rsid w:val="007048B3"/>
    <w:rsid w:val="008651C2"/>
    <w:rsid w:val="00B21A8E"/>
    <w:rsid w:val="00D01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E0"/>
    <w:pPr>
      <w:spacing w:after="160" w:line="259" w:lineRule="auto"/>
      <w:ind w:firstLine="720"/>
      <w:jc w:val="left"/>
    </w:pPr>
    <w:rPr>
      <w:rFonts w:eastAsia="Calibri" w:cs="Arial"/>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sid w:val="005474E0"/>
    <w:rPr>
      <w:rFonts w:ascii="Optima" w:hAnsi="Optima"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HOA</dc:creator>
  <cp:lastModifiedBy>PHUONG HOA</cp:lastModifiedBy>
  <cp:revision>1</cp:revision>
  <dcterms:created xsi:type="dcterms:W3CDTF">2025-12-10T02:33:00Z</dcterms:created>
  <dcterms:modified xsi:type="dcterms:W3CDTF">2025-12-10T02:34:00Z</dcterms:modified>
</cp:coreProperties>
</file>